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E2" w:rsidRPr="00D56ABA" w:rsidRDefault="00B14BE2" w:rsidP="00B14BE2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Приложение № 3</w:t>
      </w:r>
    </w:p>
    <w:p w:rsidR="00B14BE2" w:rsidRPr="00D56ABA" w:rsidRDefault="00B14BE2" w:rsidP="00B14BE2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B14BE2" w:rsidRPr="00D56ABA" w:rsidRDefault="00B14BE2" w:rsidP="00B14BE2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в Банке РМП (ПАО) с использованием Системы ДБО» </w:t>
      </w:r>
    </w:p>
    <w:p w:rsidR="00B14BE2" w:rsidRPr="00D56ABA" w:rsidRDefault="00B14BE2" w:rsidP="00B14BE2">
      <w:pPr>
        <w:spacing w:after="0" w:line="240" w:lineRule="auto"/>
        <w:ind w:right="30"/>
        <w:rPr>
          <w:color w:val="auto"/>
        </w:rPr>
      </w:pPr>
    </w:p>
    <w:p w:rsidR="00B14BE2" w:rsidRPr="00D56ABA" w:rsidRDefault="00B14BE2" w:rsidP="00B14BE2">
      <w:pPr>
        <w:spacing w:after="0" w:line="240" w:lineRule="auto"/>
        <w:ind w:right="30"/>
        <w:rPr>
          <w:color w:val="auto"/>
        </w:rPr>
      </w:pPr>
    </w:p>
    <w:p w:rsidR="00B14BE2" w:rsidRPr="00D56ABA" w:rsidRDefault="00B14BE2" w:rsidP="00B14BE2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D56ABA">
        <w:rPr>
          <w:b/>
          <w:color w:val="auto"/>
          <w:sz w:val="24"/>
          <w:szCs w:val="24"/>
        </w:rPr>
        <w:t xml:space="preserve">ПОЛИТИКА </w:t>
      </w:r>
    </w:p>
    <w:p w:rsidR="00B14BE2" w:rsidRPr="00D56ABA" w:rsidRDefault="00B14BE2" w:rsidP="00B14BE2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D56ABA">
        <w:rPr>
          <w:b/>
          <w:color w:val="auto"/>
          <w:sz w:val="24"/>
          <w:szCs w:val="24"/>
        </w:rPr>
        <w:t xml:space="preserve">конфиденциальности Системы дистанционного банковского обслуживания </w:t>
      </w:r>
    </w:p>
    <w:p w:rsidR="00B14BE2" w:rsidRPr="00D56ABA" w:rsidRDefault="00B14BE2" w:rsidP="00B14BE2">
      <w:pPr>
        <w:spacing w:after="0" w:line="240" w:lineRule="auto"/>
        <w:ind w:left="0" w:right="0" w:firstLine="0"/>
        <w:jc w:val="center"/>
        <w:rPr>
          <w:rFonts w:eastAsia="Calibri"/>
          <w:color w:val="auto"/>
          <w:lang w:eastAsia="en-US"/>
        </w:rPr>
      </w:pPr>
      <w:r w:rsidRPr="00D56ABA">
        <w:rPr>
          <w:b/>
          <w:color w:val="auto"/>
          <w:sz w:val="24"/>
          <w:szCs w:val="24"/>
        </w:rPr>
        <w:t>физических лиц в Банке РМП (ПАО)</w:t>
      </w:r>
      <w:r w:rsidRPr="00D56ABA">
        <w:rPr>
          <w:rFonts w:eastAsia="Calibri"/>
          <w:color w:val="auto"/>
          <w:lang w:eastAsia="en-US"/>
        </w:rPr>
        <w:t xml:space="preserve"> </w:t>
      </w:r>
    </w:p>
    <w:p w:rsidR="00B14BE2" w:rsidRPr="00D56ABA" w:rsidRDefault="00B14BE2" w:rsidP="00B14BE2">
      <w:pPr>
        <w:spacing w:after="0" w:line="240" w:lineRule="auto"/>
        <w:ind w:left="0" w:right="0" w:firstLine="0"/>
        <w:jc w:val="center"/>
        <w:rPr>
          <w:rFonts w:eastAsia="Calibri"/>
          <w:color w:val="auto"/>
          <w:lang w:eastAsia="en-US"/>
        </w:rPr>
      </w:pPr>
    </w:p>
    <w:p w:rsidR="00B14BE2" w:rsidRPr="00D56ABA" w:rsidRDefault="00B14BE2" w:rsidP="00B14BE2">
      <w:pPr>
        <w:spacing w:after="0" w:line="240" w:lineRule="auto"/>
        <w:ind w:left="0" w:right="0" w:firstLine="0"/>
        <w:jc w:val="center"/>
        <w:rPr>
          <w:rFonts w:eastAsia="Calibri"/>
          <w:color w:val="auto"/>
          <w:lang w:eastAsia="en-US"/>
        </w:rPr>
      </w:pPr>
    </w:p>
    <w:p w:rsidR="00B14BE2" w:rsidRPr="00D56ABA" w:rsidRDefault="00B14BE2" w:rsidP="00B14BE2">
      <w:pPr>
        <w:numPr>
          <w:ilvl w:val="0"/>
          <w:numId w:val="1"/>
        </w:numPr>
        <w:tabs>
          <w:tab w:val="left" w:pos="284"/>
        </w:tabs>
        <w:spacing w:after="212" w:line="259" w:lineRule="auto"/>
        <w:ind w:left="0" w:right="0" w:firstLine="0"/>
        <w:jc w:val="center"/>
        <w:rPr>
          <w:color w:val="auto"/>
        </w:rPr>
      </w:pPr>
      <w:r w:rsidRPr="00D56ABA">
        <w:rPr>
          <w:b/>
          <w:color w:val="auto"/>
        </w:rPr>
        <w:t xml:space="preserve">Общие положения </w:t>
      </w:r>
    </w:p>
    <w:p w:rsidR="00B14BE2" w:rsidRPr="00D56ABA" w:rsidRDefault="00B14BE2" w:rsidP="00B14BE2">
      <w:pPr>
        <w:numPr>
          <w:ilvl w:val="1"/>
          <w:numId w:val="1"/>
        </w:numPr>
        <w:tabs>
          <w:tab w:val="left" w:pos="993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Настоящая Политика конфиденциальности (далее – Политика) системы дистанционного банковского обслуживания для физических лиц (интернет-банк и/или мобильный банк) (далее – Система ДБО) действует в отношении всей информации, размещенной в Системе ДБО, которую Банк РМП (ПАО) (далее – Банк) может получить о пользователе – физическом лице (далее – Пользователь) во время использования Системы ДБО. </w:t>
      </w:r>
    </w:p>
    <w:p w:rsidR="00B14BE2" w:rsidRPr="00D56ABA" w:rsidRDefault="00B14BE2" w:rsidP="00B14BE2">
      <w:pPr>
        <w:numPr>
          <w:ilvl w:val="1"/>
          <w:numId w:val="1"/>
        </w:numPr>
        <w:tabs>
          <w:tab w:val="left" w:pos="993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Услуги и сервисы в рамках Системы ДБО реализуются Пользователю на основании соответствующих договоров с Банком, которые в том числе регулируют вопросы обработки и хранения Банком персональных данных Пользователя. </w:t>
      </w:r>
    </w:p>
    <w:p w:rsidR="00B14BE2" w:rsidRPr="00D56ABA" w:rsidRDefault="00B14BE2" w:rsidP="00B14BE2">
      <w:pPr>
        <w:numPr>
          <w:ilvl w:val="1"/>
          <w:numId w:val="1"/>
        </w:numPr>
        <w:tabs>
          <w:tab w:val="left" w:pos="993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Настоящая Политика применяется только к Системе ДБО. Банк не контролирует и не несет ответственности за информацию (последствия ее передачи), переданную Пользователем третьей стороне, в случае если такая передача была выполнена на ресурсе третьей стороны, на который Пользователь может перейти по ссылкам, доступным в Системе ДБО. </w:t>
      </w:r>
    </w:p>
    <w:p w:rsidR="00B14BE2" w:rsidRPr="00D56ABA" w:rsidRDefault="00B14BE2" w:rsidP="00B14BE2">
      <w:pPr>
        <w:numPr>
          <w:ilvl w:val="1"/>
          <w:numId w:val="1"/>
        </w:numPr>
        <w:tabs>
          <w:tab w:val="left" w:pos="993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Банк вправе вносить изменения и/или дополнения в настоящую Политику путем размещения новой редакции Политики в составе Договора оферты «Условия обслуживания физических лиц в Банке РМП (ПАО) с использованием Системы ДБО» на официальном сайте Банка в информационно-телекоммуникационной сети «Интернет» (далее – сайт Банка) по адресу: </w:t>
      </w:r>
      <w:hyperlink r:id="rId7" w:history="1">
        <w:r w:rsidRPr="00D56ABA">
          <w:rPr>
            <w:rStyle w:val="a3"/>
            <w:b/>
          </w:rPr>
          <w:t>http://bankrmp.ru</w:t>
        </w:r>
      </w:hyperlink>
      <w:r w:rsidRPr="00D56ABA">
        <w:rPr>
          <w:color w:val="auto"/>
        </w:rPr>
        <w:t xml:space="preserve">.  </w:t>
      </w:r>
    </w:p>
    <w:p w:rsidR="00B14BE2" w:rsidRPr="00D56ABA" w:rsidRDefault="00B14BE2" w:rsidP="00B14BE2">
      <w:pPr>
        <w:numPr>
          <w:ilvl w:val="1"/>
          <w:numId w:val="1"/>
        </w:numPr>
        <w:tabs>
          <w:tab w:val="left" w:pos="993"/>
        </w:tabs>
        <w:spacing w:after="217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Пользователь самостоятельно знакомится, не реже одного раза в неделю, с текущей редакцией Политики, следит за изменениями и/или дополнениями, вносимыми Банком в Политику. Проведение операции в Системе ДБО Пользователем, ознакомившимся с Политикой, на сайте Банка и/или в Системе ДБО в день ее проведения, свидетельствует о принятии Пользователем условий Политики (в т. ч. указанными в ней условиями обработки информации), получаемой с устройства Пользователя, с учетом всех изменений и дополнений, действующих на дату проведения операции. В случае несогласия с Политикой Пользователь должен воздержаться от использования Системы ДБО. </w:t>
      </w:r>
    </w:p>
    <w:p w:rsidR="00B14BE2" w:rsidRPr="00D56ABA" w:rsidRDefault="00B14BE2" w:rsidP="00B14BE2">
      <w:pPr>
        <w:spacing w:after="0" w:line="240" w:lineRule="auto"/>
        <w:ind w:left="567" w:right="0" w:firstLine="0"/>
        <w:rPr>
          <w:color w:val="auto"/>
        </w:rPr>
      </w:pPr>
    </w:p>
    <w:p w:rsidR="00B14BE2" w:rsidRPr="00D56ABA" w:rsidRDefault="00B14BE2" w:rsidP="00B14BE2">
      <w:pPr>
        <w:numPr>
          <w:ilvl w:val="0"/>
          <w:numId w:val="1"/>
        </w:numPr>
        <w:tabs>
          <w:tab w:val="left" w:pos="284"/>
        </w:tabs>
        <w:spacing w:after="212" w:line="259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Получаемая и используемая информация Пользователей, цели ее использования</w:t>
      </w:r>
    </w:p>
    <w:p w:rsidR="00B14BE2" w:rsidRPr="00D56ABA" w:rsidRDefault="00B14BE2" w:rsidP="00B14BE2">
      <w:pPr>
        <w:numPr>
          <w:ilvl w:val="1"/>
          <w:numId w:val="1"/>
        </w:numPr>
        <w:tabs>
          <w:tab w:val="left" w:pos="993"/>
        </w:tabs>
        <w:spacing w:after="81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В настоящей Политике под информацией Пользователя понимается: </w:t>
      </w:r>
    </w:p>
    <w:p w:rsidR="00B14BE2" w:rsidRPr="00D56ABA" w:rsidRDefault="00B14BE2" w:rsidP="00B14BE2">
      <w:pPr>
        <w:numPr>
          <w:ilvl w:val="2"/>
          <w:numId w:val="1"/>
        </w:numPr>
        <w:tabs>
          <w:tab w:val="left" w:pos="851"/>
          <w:tab w:val="left" w:pos="1276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Персональная информация, которую Пользователь самостоятельно предоставляет Банку при регистрации в Системе ДБО, а также в процессе использования Системы ДБО (ФИО, адрес электронной почты, номер телефона и другая информация в соответствии с п. 2.2.1 настоящей Политики). </w:t>
      </w:r>
    </w:p>
    <w:p w:rsidR="00B14BE2" w:rsidRPr="00D56ABA" w:rsidRDefault="00B14BE2" w:rsidP="00B14BE2">
      <w:pPr>
        <w:numPr>
          <w:ilvl w:val="2"/>
          <w:numId w:val="1"/>
        </w:numPr>
        <w:tabs>
          <w:tab w:val="left" w:pos="851"/>
          <w:tab w:val="left" w:pos="1276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Автоматически передаваемые данные в процессе использования Системы ДБО, в том числе IP-адрес, сведения о мобильном устройстве, с которого осуществляется доступ и другая информация в соответствии с п. 2.2.2 – 2.2.4 настоящей Политики. </w:t>
      </w:r>
    </w:p>
    <w:p w:rsidR="00B14BE2" w:rsidRPr="00D56ABA" w:rsidRDefault="00B14BE2" w:rsidP="00B14BE2">
      <w:pPr>
        <w:numPr>
          <w:ilvl w:val="1"/>
          <w:numId w:val="1"/>
        </w:numPr>
        <w:tabs>
          <w:tab w:val="left" w:pos="993"/>
        </w:tabs>
        <w:spacing w:after="87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При использовании Системы ДБО Банком может быть запрошена и получена следующая информация: </w:t>
      </w:r>
    </w:p>
    <w:p w:rsidR="00B14BE2" w:rsidRPr="00D56ABA" w:rsidRDefault="00B14BE2" w:rsidP="00B14BE2">
      <w:pPr>
        <w:numPr>
          <w:ilvl w:val="2"/>
          <w:numId w:val="1"/>
        </w:numPr>
        <w:tabs>
          <w:tab w:val="left" w:pos="1276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Информация о Пользователе – при регистрации Банком запрашивается информация о Пользователе, например, ФИО, дата рождения, адрес электронной почты, номер телефона. Банком также может быть запрошена дополнительная информация. При отдельно данном согласии Пользователя Банком может быть получена информация о контактных данных Пользователя (телефонная и/или адресная книга, контакты в мобильном устройстве). </w:t>
      </w:r>
    </w:p>
    <w:p w:rsidR="00B14BE2" w:rsidRPr="00D56ABA" w:rsidRDefault="00B14BE2" w:rsidP="00B14BE2">
      <w:pPr>
        <w:numPr>
          <w:ilvl w:val="2"/>
          <w:numId w:val="1"/>
        </w:numPr>
        <w:tabs>
          <w:tab w:val="left" w:pos="1276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Информация о местоположении устройства Пользователя (на основе данных сети оператора сотовой связи и сигналов GPS) - позволяют Банку получать информацию о месте фактического местоположения </w:t>
      </w:r>
      <w:r w:rsidRPr="00D56ABA">
        <w:rPr>
          <w:color w:val="auto"/>
        </w:rPr>
        <w:lastRenderedPageBreak/>
        <w:t xml:space="preserve">Пользователя, включая данные GPS, отправляемые мобильным устройством, информировать Пользователя при использовании Системы ДБО о местоположении подразделений Банка, устройств самообслуживания Банка, а также о дополнительных сервисах, доступных пользователю и обусловленных его местоположением. </w:t>
      </w:r>
    </w:p>
    <w:p w:rsidR="00B14BE2" w:rsidRPr="00D56ABA" w:rsidRDefault="00B14BE2" w:rsidP="00B14BE2">
      <w:pPr>
        <w:numPr>
          <w:ilvl w:val="2"/>
          <w:numId w:val="1"/>
        </w:numPr>
        <w:tabs>
          <w:tab w:val="left" w:pos="1276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Информация о мобильном устройстве - Банком собираются данные о мобильных устройствах Пользователя, такие как модель мобильного устройства, версия операционной системы, уникальные идентификаторы устройства, а также данные о мобильной сети и номер мобильного телефона.  </w:t>
      </w:r>
    </w:p>
    <w:p w:rsidR="00B14BE2" w:rsidRPr="00D56ABA" w:rsidRDefault="00B14BE2" w:rsidP="00B14BE2">
      <w:pPr>
        <w:numPr>
          <w:ilvl w:val="2"/>
          <w:numId w:val="1"/>
        </w:numPr>
        <w:tabs>
          <w:tab w:val="left" w:pos="1276"/>
        </w:tabs>
        <w:spacing w:after="120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Информация о совершаемых операциях. При совершении операций оплаты товаров и услуг, денежных переводов и прочего, Банком собираются данные о месте, времени и сумме совершенных операций, тип способа оплаты, данные о продавце и/или поставщике услуг, описания причины совершения операции, если таковые имеются, а также иную информацию, связанную с совершением указанных выше операций. </w:t>
      </w:r>
    </w:p>
    <w:p w:rsidR="00B14BE2" w:rsidRPr="00D56ABA" w:rsidRDefault="00B14BE2" w:rsidP="00B14BE2">
      <w:pPr>
        <w:spacing w:after="120" w:line="240" w:lineRule="auto"/>
        <w:ind w:left="567" w:right="0" w:firstLine="0"/>
        <w:rPr>
          <w:color w:val="auto"/>
        </w:rPr>
      </w:pPr>
    </w:p>
    <w:p w:rsidR="00B14BE2" w:rsidRPr="00D56ABA" w:rsidRDefault="00B14BE2" w:rsidP="00B14BE2">
      <w:pPr>
        <w:numPr>
          <w:ilvl w:val="0"/>
          <w:numId w:val="1"/>
        </w:numPr>
        <w:tabs>
          <w:tab w:val="left" w:pos="284"/>
        </w:tabs>
        <w:spacing w:after="212" w:line="259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Условия обработки информации Пользователя</w:t>
      </w:r>
    </w:p>
    <w:p w:rsidR="00B14BE2" w:rsidRPr="00D56ABA" w:rsidRDefault="00B14BE2" w:rsidP="00B14BE2">
      <w:pPr>
        <w:numPr>
          <w:ilvl w:val="1"/>
          <w:numId w:val="1"/>
        </w:numPr>
        <w:tabs>
          <w:tab w:val="left" w:pos="1134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В соответствии с настоящей Политикой Банк осуществляет обработку информации и для целей, определенных в разделе 2 настоящей Политики. </w:t>
      </w:r>
    </w:p>
    <w:p w:rsidR="00B14BE2" w:rsidRPr="00D56ABA" w:rsidRDefault="00B14BE2" w:rsidP="00B14BE2">
      <w:pPr>
        <w:numPr>
          <w:ilvl w:val="1"/>
          <w:numId w:val="1"/>
        </w:numPr>
        <w:tabs>
          <w:tab w:val="left" w:pos="1134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Банк принимает все зависящие от Банка организационные и технические меры для защиты информации Пользователя от неправомерного доступа третьих лиц, использования, копирования и распространения. </w:t>
      </w:r>
    </w:p>
    <w:p w:rsidR="00B14BE2" w:rsidRPr="00D56ABA" w:rsidRDefault="00B14BE2" w:rsidP="00B14BE2">
      <w:pPr>
        <w:numPr>
          <w:ilvl w:val="1"/>
          <w:numId w:val="1"/>
        </w:numPr>
        <w:tabs>
          <w:tab w:val="left" w:pos="1134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Для целей, изложенных в настоящей Политике, Банк может привлекать к обработке информации партнеров, с которыми у Банка заключены соответствующие соглашения о конфиденциальности. Передача Банком партнерам обезличенных данных об использовании Системы ДБО для целей улучшения работы Системы ДБО осуществляется на основании договоров с партнерами. </w:t>
      </w:r>
    </w:p>
    <w:p w:rsidR="00B14BE2" w:rsidRPr="00D56ABA" w:rsidRDefault="00B14BE2" w:rsidP="00B14BE2">
      <w:pPr>
        <w:numPr>
          <w:ilvl w:val="1"/>
          <w:numId w:val="2"/>
        </w:numPr>
        <w:tabs>
          <w:tab w:val="left" w:pos="1134"/>
        </w:tabs>
        <w:spacing w:after="149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Информация Пользователя может сохраняться на ресурсах Банка и его партнеров в течение срока действия договорных отношений между Банком и Пользователем касаемо Системы ДБО, а также в течение 5 (пяти) лет после расторжения таких договоров. </w:t>
      </w:r>
    </w:p>
    <w:p w:rsidR="00B14BE2" w:rsidRPr="00D56ABA" w:rsidRDefault="00B14BE2" w:rsidP="00B14BE2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right="0" w:firstLine="567"/>
        <w:rPr>
          <w:color w:val="auto"/>
        </w:rPr>
      </w:pPr>
      <w:r w:rsidRPr="00D56ABA">
        <w:rPr>
          <w:color w:val="auto"/>
        </w:rPr>
        <w:t xml:space="preserve">Информация Пользователя может быть предоставлена государственным органам в соответствии с требованиями действующего законодательства Российской Федерации. </w:t>
      </w:r>
    </w:p>
    <w:p w:rsidR="00B14BE2" w:rsidRPr="00D56ABA" w:rsidRDefault="00B14BE2" w:rsidP="00B14BE2">
      <w:pPr>
        <w:spacing w:after="120" w:line="240" w:lineRule="auto"/>
        <w:ind w:left="567" w:right="0" w:firstLine="0"/>
        <w:rPr>
          <w:color w:val="auto"/>
        </w:rPr>
      </w:pPr>
    </w:p>
    <w:p w:rsidR="00B14BE2" w:rsidRPr="00D56ABA" w:rsidRDefault="00B14BE2" w:rsidP="00B14BE2">
      <w:pPr>
        <w:numPr>
          <w:ilvl w:val="0"/>
          <w:numId w:val="1"/>
        </w:numPr>
        <w:tabs>
          <w:tab w:val="left" w:pos="284"/>
        </w:tabs>
        <w:spacing w:after="212" w:line="259" w:lineRule="auto"/>
        <w:ind w:left="0" w:right="0" w:firstLine="0"/>
        <w:jc w:val="center"/>
        <w:rPr>
          <w:b/>
          <w:color w:val="auto"/>
        </w:rPr>
      </w:pPr>
      <w:r w:rsidRPr="00D56ABA">
        <w:rPr>
          <w:b/>
          <w:color w:val="auto"/>
        </w:rPr>
        <w:t>Меры безопасности, используемые для сохранения конфиденциальности информации</w:t>
      </w:r>
    </w:p>
    <w:p w:rsidR="00B14BE2" w:rsidRPr="00D56ABA" w:rsidRDefault="00B14BE2" w:rsidP="00B14BE2">
      <w:pPr>
        <w:spacing w:line="240" w:lineRule="auto"/>
        <w:ind w:left="0" w:right="0" w:firstLine="567"/>
        <w:rPr>
          <w:color w:val="auto"/>
        </w:rPr>
      </w:pPr>
      <w:r w:rsidRPr="00D56ABA">
        <w:rPr>
          <w:color w:val="auto"/>
          <w:sz w:val="24"/>
        </w:rPr>
        <w:t>4.1.</w:t>
      </w:r>
      <w:r w:rsidRPr="00D56ABA">
        <w:rPr>
          <w:rFonts w:ascii="Arial" w:eastAsia="Arial" w:hAnsi="Arial" w:cs="Arial"/>
          <w:color w:val="auto"/>
          <w:sz w:val="24"/>
        </w:rPr>
        <w:t xml:space="preserve"> </w:t>
      </w:r>
      <w:r w:rsidRPr="00D56ABA">
        <w:rPr>
          <w:color w:val="auto"/>
        </w:rPr>
        <w:t xml:space="preserve">Банком предпринимаются все возможные меры для обеспечения безопасности и защиты информации Пользователей от несанкционированных попыток доступа, изменения, раскрытия или уничтожения, а также иных видов ненадлежащего использования. Банком постоянно совершенствуются способы сбора, хранения и обработки данных, включая физические меры безопасности, для противодействия несанкционированному доступу к Системе ДБО Банка с целью хищения имущества, </w:t>
      </w:r>
      <w:proofErr w:type="spellStart"/>
      <w:r w:rsidRPr="00D56ABA">
        <w:rPr>
          <w:color w:val="auto"/>
        </w:rPr>
        <w:t>фишинга</w:t>
      </w:r>
      <w:proofErr w:type="spellEnd"/>
      <w:r w:rsidRPr="00D56ABA">
        <w:rPr>
          <w:color w:val="auto"/>
        </w:rPr>
        <w:t xml:space="preserve"> и иных видов мошенничества. Банком также ограничивается доступ сотрудников, подрядчиков и агентов к информации Пользователей, предусматриваются строгие договорные обязательства в сфере конфиденциальности, за нарушение которых устанавливаются жесткие меры ответственности и штрафные санкции.</w:t>
      </w:r>
      <w:r w:rsidRPr="00D56ABA">
        <w:rPr>
          <w:b/>
          <w:color w:val="auto"/>
        </w:rPr>
        <w:t xml:space="preserve"> </w:t>
      </w:r>
    </w:p>
    <w:p w:rsidR="00B14BE2" w:rsidRPr="00D56ABA" w:rsidRDefault="00B14BE2" w:rsidP="00B14BE2">
      <w:pPr>
        <w:spacing w:line="240" w:lineRule="auto"/>
        <w:ind w:left="0" w:right="0" w:firstLine="567"/>
        <w:rPr>
          <w:color w:val="auto"/>
        </w:rPr>
      </w:pPr>
      <w:r w:rsidRPr="00D56ABA">
        <w:rPr>
          <w:color w:val="auto"/>
          <w:sz w:val="24"/>
        </w:rPr>
        <w:t>4.2.</w:t>
      </w:r>
      <w:r w:rsidRPr="00D56ABA">
        <w:rPr>
          <w:rFonts w:ascii="Arial" w:eastAsia="Arial" w:hAnsi="Arial" w:cs="Arial"/>
          <w:color w:val="auto"/>
          <w:sz w:val="24"/>
        </w:rPr>
        <w:t xml:space="preserve"> </w:t>
      </w:r>
      <w:r w:rsidRPr="00D56ABA">
        <w:rPr>
          <w:color w:val="auto"/>
        </w:rPr>
        <w:t xml:space="preserve">Безопасность использования Системы ДБО также зависит от соблюдения Пользователем рекомендаций, с которыми можно ознакомиться на официальном сайте Банка в информационно – телекоммуникационной сети «Интернет» по адресу </w:t>
      </w:r>
      <w:hyperlink r:id="rId8" w:history="1">
        <w:r w:rsidRPr="00D56ABA">
          <w:rPr>
            <w:rStyle w:val="a3"/>
            <w:b/>
            <w:lang w:val="en-US"/>
          </w:rPr>
          <w:t>http</w:t>
        </w:r>
        <w:r w:rsidRPr="00D56ABA">
          <w:rPr>
            <w:rStyle w:val="a3"/>
            <w:b/>
          </w:rPr>
          <w:t>://</w:t>
        </w:r>
        <w:proofErr w:type="spellStart"/>
        <w:r w:rsidRPr="00D56ABA">
          <w:rPr>
            <w:rStyle w:val="a3"/>
            <w:b/>
            <w:lang w:val="en-US"/>
          </w:rPr>
          <w:t>bankrmp</w:t>
        </w:r>
        <w:proofErr w:type="spellEnd"/>
        <w:r w:rsidRPr="00D56ABA">
          <w:rPr>
            <w:rStyle w:val="a3"/>
            <w:b/>
          </w:rPr>
          <w:t>.</w:t>
        </w:r>
        <w:proofErr w:type="spellStart"/>
        <w:r w:rsidRPr="00D56ABA">
          <w:rPr>
            <w:rStyle w:val="a3"/>
            <w:b/>
            <w:lang w:val="en-US"/>
          </w:rPr>
          <w:t>ru</w:t>
        </w:r>
        <w:proofErr w:type="spellEnd"/>
      </w:hyperlink>
      <w:r w:rsidRPr="00D56ABA">
        <w:rPr>
          <w:color w:val="auto"/>
        </w:rPr>
        <w:t xml:space="preserve">. Пользователь должен хранить данные идентификатора пользователя (логин) и средство идентификации (пароль) втайне от третьих лиц. Пользователь обязуется незамедлительно сообщать Банку о любом случае подозрения несанкционированного использования его Системы ДБО, обеспечить сохранность идентификатора пользователя (логин) и средство идентификации (пароль) от третьих лиц. </w:t>
      </w:r>
    </w:p>
    <w:p w:rsidR="00547C43" w:rsidRDefault="00B14BE2" w:rsidP="00B14BE2">
      <w:pPr>
        <w:spacing w:after="213" w:line="240" w:lineRule="auto"/>
        <w:ind w:left="0" w:right="0" w:firstLine="567"/>
      </w:pPr>
      <w:r w:rsidRPr="00D56ABA">
        <w:rPr>
          <w:color w:val="auto"/>
          <w:sz w:val="24"/>
        </w:rPr>
        <w:t>4.3.</w:t>
      </w:r>
      <w:r w:rsidRPr="00D56ABA">
        <w:rPr>
          <w:rFonts w:ascii="Arial" w:eastAsia="Arial" w:hAnsi="Arial" w:cs="Arial"/>
          <w:color w:val="auto"/>
          <w:sz w:val="24"/>
        </w:rPr>
        <w:t xml:space="preserve"> </w:t>
      </w:r>
      <w:r w:rsidRPr="00D56ABA">
        <w:rPr>
          <w:color w:val="auto"/>
        </w:rPr>
        <w:t xml:space="preserve">Соблюдение Пользователем рекомендаций Банка позволит обеспечить максимальную сохранность предоставленной Банку информации, в том числе реквизитов банковской карты Пользователя, и других данных, а также снизит возможные риски при совершении операций с использованием реквизитов банковской карты при безналичной оплате товаров и услуг, в том числе через информационно – телекоммуникационную сеть «Интернет». </w:t>
      </w:r>
      <w:r w:rsidRPr="00D56ABA">
        <w:rPr>
          <w:b/>
          <w:color w:val="auto"/>
        </w:rPr>
        <w:t xml:space="preserve"> </w:t>
      </w:r>
      <w:bookmarkStart w:id="0" w:name="_GoBack"/>
      <w:bookmarkEnd w:id="0"/>
    </w:p>
    <w:sectPr w:rsidR="00547C43" w:rsidSect="00B14BE2">
      <w:footerReference w:type="default" r:id="rId9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E2" w:rsidRDefault="00B14BE2" w:rsidP="00B14BE2">
      <w:pPr>
        <w:spacing w:after="0" w:line="240" w:lineRule="auto"/>
      </w:pPr>
      <w:r>
        <w:separator/>
      </w:r>
    </w:p>
  </w:endnote>
  <w:endnote w:type="continuationSeparator" w:id="0">
    <w:p w:rsidR="00B14BE2" w:rsidRDefault="00B14BE2" w:rsidP="00B1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055108"/>
      <w:docPartObj>
        <w:docPartGallery w:val="Page Numbers (Bottom of Page)"/>
        <w:docPartUnique/>
      </w:docPartObj>
    </w:sdtPr>
    <w:sdtContent>
      <w:p w:rsidR="00B14BE2" w:rsidRDefault="00B14B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4BE2" w:rsidRDefault="00B14B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E2" w:rsidRDefault="00B14BE2" w:rsidP="00B14BE2">
      <w:pPr>
        <w:spacing w:after="0" w:line="240" w:lineRule="auto"/>
      </w:pPr>
      <w:r>
        <w:separator/>
      </w:r>
    </w:p>
  </w:footnote>
  <w:footnote w:type="continuationSeparator" w:id="0">
    <w:p w:rsidR="00B14BE2" w:rsidRDefault="00B14BE2" w:rsidP="00B1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75C"/>
    <w:multiLevelType w:val="multilevel"/>
    <w:tmpl w:val="36445B96"/>
    <w:lvl w:ilvl="0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0D4136"/>
    <w:multiLevelType w:val="multilevel"/>
    <w:tmpl w:val="E522DD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97"/>
    <w:rsid w:val="00547C43"/>
    <w:rsid w:val="008A5597"/>
    <w:rsid w:val="00B1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A3C578-7AC7-4787-8483-2E73498D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E2"/>
    <w:pPr>
      <w:spacing w:after="131" w:line="268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B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BE2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B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BE2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Наталья Анатольевна</dc:creator>
  <cp:keywords/>
  <dc:description/>
  <cp:lastModifiedBy>Долгушина Наталья Анатольевна</cp:lastModifiedBy>
  <cp:revision>2</cp:revision>
  <dcterms:created xsi:type="dcterms:W3CDTF">2020-10-26T10:28:00Z</dcterms:created>
  <dcterms:modified xsi:type="dcterms:W3CDTF">2020-10-26T10:31:00Z</dcterms:modified>
</cp:coreProperties>
</file>